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Дело № 2-</w:t>
      </w:r>
      <w:r>
        <w:rPr>
          <w:rFonts w:ascii="Times New Roman" w:eastAsia="Times New Roman" w:hAnsi="Times New Roman" w:cs="Times New Roman"/>
          <w:sz w:val="26"/>
          <w:szCs w:val="26"/>
        </w:rPr>
        <w:t>1438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25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Король Е.П., 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Солодовниковой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Агапитову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Ивану Георгиевичу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взыскании задолженности по взносам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167, 194-199 Гражданского процессуального кодекса Российской Федерации,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сковые требования Югорского фонда капитального ремонта многоквартирных домов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Агапитова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Ивана Георгиевича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(паспорт серии </w:t>
      </w:r>
      <w:r>
        <w:rPr>
          <w:rStyle w:val="cat-UserDefinedgrp-20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СНИЛС </w:t>
      </w:r>
      <w:r>
        <w:rPr>
          <w:rStyle w:val="cat-UserDefinedgrp-21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Югорского фонда капитального </w:t>
      </w:r>
      <w:r>
        <w:rPr>
          <w:rFonts w:ascii="Times New Roman" w:eastAsia="Times New Roman" w:hAnsi="Times New Roman" w:cs="Times New Roman"/>
          <w:sz w:val="28"/>
          <w:szCs w:val="28"/>
        </w:rPr>
        <w:t>ремонта многоквартирных домов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(ИНН </w:t>
      </w:r>
      <w:r>
        <w:rPr>
          <w:rStyle w:val="cat-UserDefinedgrp-22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пропорционально доли в праве общей долевой собственности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задолженность по оплате взноса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пределах сроков исковой давности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период с </w:t>
      </w:r>
      <w:r>
        <w:rPr>
          <w:rStyle w:val="cat-UserDefinedgrp-23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в размере </w:t>
      </w:r>
      <w:r>
        <w:rPr>
          <w:rStyle w:val="cat-Sumgrp-12rplc-18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пени за просрочку обязательств по уплате взноса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333 ГК РФ за период с </w:t>
      </w:r>
      <w:r>
        <w:rPr>
          <w:rStyle w:val="cat-UserDefinedgrp-24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Style w:val="cat-Sumgrp-13rplc-22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расходы по уплате государственной пошлины в размере </w:t>
      </w:r>
      <w:r>
        <w:rPr>
          <w:rStyle w:val="cat-Sumgrp-14rplc-23"/>
          <w:rFonts w:ascii="Times New Roman" w:eastAsia="Times New Roman" w:hAnsi="Times New Roman" w:cs="Times New Roman"/>
          <w:sz w:val="28"/>
          <w:szCs w:val="28"/>
        </w:rPr>
        <w:t>сумма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</w:t>
      </w:r>
      <w:r>
        <w:rPr>
          <w:rFonts w:ascii="Times New Roman" w:eastAsia="Times New Roman" w:hAnsi="Times New Roman" w:cs="Times New Roman"/>
          <w:sz w:val="28"/>
          <w:szCs w:val="28"/>
        </w:rPr>
        <w:t>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Е.П. Король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№10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Е.П. Король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мая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2-</w:t>
      </w:r>
      <w:r>
        <w:rPr>
          <w:rFonts w:ascii="Times New Roman" w:eastAsia="Times New Roman" w:hAnsi="Times New Roman" w:cs="Times New Roman"/>
          <w:sz w:val="20"/>
          <w:szCs w:val="20"/>
        </w:rPr>
        <w:t>1438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0rplc-9">
    <w:name w:val="cat-UserDefined grp-20 rplc-9"/>
    <w:basedOn w:val="DefaultParagraphFont"/>
  </w:style>
  <w:style w:type="character" w:customStyle="1" w:styleId="cat-UserDefinedgrp-21rplc-12">
    <w:name w:val="cat-UserDefined grp-21 rplc-12"/>
    <w:basedOn w:val="DefaultParagraphFont"/>
  </w:style>
  <w:style w:type="character" w:customStyle="1" w:styleId="cat-UserDefinedgrp-22rplc-14">
    <w:name w:val="cat-UserDefined grp-22 rplc-14"/>
    <w:basedOn w:val="DefaultParagraphFont"/>
  </w:style>
  <w:style w:type="character" w:customStyle="1" w:styleId="cat-UserDefinedgrp-23rplc-16">
    <w:name w:val="cat-UserDefined grp-23 rplc-16"/>
    <w:basedOn w:val="DefaultParagraphFont"/>
  </w:style>
  <w:style w:type="character" w:customStyle="1" w:styleId="cat-Sumgrp-12rplc-18">
    <w:name w:val="cat-Sum grp-12 rplc-18"/>
    <w:basedOn w:val="DefaultParagraphFont"/>
  </w:style>
  <w:style w:type="character" w:customStyle="1" w:styleId="cat-UserDefinedgrp-24rplc-20">
    <w:name w:val="cat-UserDefined grp-24 rplc-20"/>
    <w:basedOn w:val="DefaultParagraphFont"/>
  </w:style>
  <w:style w:type="character" w:customStyle="1" w:styleId="cat-Sumgrp-13rplc-22">
    <w:name w:val="cat-Sum grp-13 rplc-22"/>
    <w:basedOn w:val="DefaultParagraphFont"/>
  </w:style>
  <w:style w:type="character" w:customStyle="1" w:styleId="cat-Sumgrp-14rplc-23">
    <w:name w:val="cat-Sum grp-14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